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C645C" w14:textId="77777777" w:rsidR="007077D8" w:rsidRDefault="00000000">
      <w:pPr>
        <w:pStyle w:val="Title"/>
        <w:rPr>
          <w:b/>
          <w:bCs/>
        </w:rPr>
      </w:pPr>
      <w:bookmarkStart w:id="0" w:name="_63b3mixxg1y7" w:colFirst="0" w:colLast="0"/>
      <w:bookmarkEnd w:id="0"/>
      <w:r>
        <w:rPr>
          <w:rFonts w:ascii="Times New Roman" w:eastAsia="Times New Roman" w:hAnsi="Times New Roman" w:cs="Times New Roman"/>
          <w:b/>
          <w:bCs/>
          <w:sz w:val="32"/>
          <w:szCs w:val="32"/>
        </w:rPr>
        <w:t>Appendix</w:t>
      </w:r>
    </w:p>
    <w:p w14:paraId="3162DE9C" w14:textId="77777777" w:rsidR="007077D8" w:rsidRDefault="00000000">
      <w:pPr>
        <w:pStyle w:val="Heading1"/>
        <w:rPr>
          <w:rFonts w:ascii="Times New Roman" w:eastAsia="Times New Roman" w:hAnsi="Times New Roman" w:cs="Times New Roman"/>
          <w:b/>
          <w:bCs/>
          <w:sz w:val="28"/>
          <w:szCs w:val="28"/>
        </w:rPr>
      </w:pPr>
      <w:bookmarkStart w:id="1" w:name="_3vz48vf9uq4i" w:colFirst="0" w:colLast="0"/>
      <w:bookmarkEnd w:id="1"/>
      <w:r>
        <w:rPr>
          <w:rFonts w:ascii="Times New Roman" w:eastAsia="Times New Roman" w:hAnsi="Times New Roman" w:cs="Times New Roman"/>
          <w:b/>
          <w:bCs/>
          <w:sz w:val="28"/>
          <w:szCs w:val="28"/>
        </w:rPr>
        <w:t xml:space="preserve">Appendix A. </w:t>
      </w:r>
    </w:p>
    <w:p w14:paraId="3902E190" w14:textId="77777777" w:rsidR="007077D8" w:rsidRDefault="00000000">
      <w:pPr>
        <w:pStyle w:val="Heading2"/>
        <w:rPr>
          <w:rFonts w:ascii="Times New Roman" w:eastAsia="Times New Roman" w:hAnsi="Times New Roman" w:cs="Times New Roman"/>
          <w:i/>
          <w:iCs/>
          <w:sz w:val="24"/>
          <w:szCs w:val="24"/>
        </w:rPr>
      </w:pPr>
      <w:bookmarkStart w:id="2" w:name="_otvywblafvjb" w:colFirst="0" w:colLast="0"/>
      <w:bookmarkEnd w:id="2"/>
      <w:r>
        <w:rPr>
          <w:rFonts w:ascii="Times New Roman" w:eastAsia="Times New Roman" w:hAnsi="Times New Roman" w:cs="Times New Roman"/>
          <w:i/>
          <w:iCs/>
          <w:sz w:val="24"/>
          <w:szCs w:val="24"/>
        </w:rPr>
        <w:t>Completion latency (arrival to last token) density overlay across fixed batch token targets b in {32, 64, 96, 128, 160, 192, 256}.</w:t>
      </w:r>
    </w:p>
    <w:p w14:paraId="3E941174" w14:textId="77777777" w:rsidR="007077D8" w:rsidRDefault="00000000">
      <w:r>
        <w:rPr>
          <w:noProof/>
        </w:rPr>
        <w:drawing>
          <wp:inline distT="114300" distB="114300" distL="114300" distR="114300" wp14:anchorId="3B10710F" wp14:editId="00CE1A87">
            <wp:extent cx="5943600" cy="334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943600" cy="3340100"/>
                    </a:xfrm>
                    <a:prstGeom prst="rect">
                      <a:avLst/>
                    </a:prstGeom>
                    <a:ln/>
                  </pic:spPr>
                </pic:pic>
              </a:graphicData>
            </a:graphic>
          </wp:inline>
        </w:drawing>
      </w:r>
    </w:p>
    <w:p w14:paraId="516E5533" w14:textId="77777777" w:rsidR="007077D8" w:rsidRDefault="007077D8">
      <w:pPr>
        <w:spacing w:before="240" w:after="240"/>
        <w:rPr>
          <w:rFonts w:ascii="Times New Roman" w:eastAsia="Times New Roman" w:hAnsi="Times New Roman" w:cs="Times New Roman"/>
          <w:sz w:val="24"/>
          <w:szCs w:val="24"/>
        </w:rPr>
      </w:pPr>
    </w:p>
    <w:p w14:paraId="10C75900"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Notes.</w:t>
      </w:r>
      <w:r>
        <w:rPr>
          <w:rFonts w:ascii="Times New Roman" w:eastAsia="Times New Roman" w:hAnsi="Times New Roman" w:cs="Times New Roman"/>
          <w:sz w:val="24"/>
          <w:szCs w:val="24"/>
        </w:rPr>
        <w:t xml:space="preserve"> This figure overlays the empirical density of per-request completion latency for each fixed batching policy, where completion latency is measured from the request’s arrival time to the completion of its final decode token. Each curve corresponds to a fixed token target b; the scheduler dispatches a batch once queued token work reaches b (or a timeout occurs). Because larger b typically increases batch formation waiting time but amortizes per-batch overhead, the distribution shifts provide a direct view of how batching aggressiveness impacts end-to-end latency under the same workload and service model.</w:t>
      </w:r>
    </w:p>
    <w:p w14:paraId="4AAE15D0"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run, the curves separate into two visible regimes: the smallest batch target b=32 is concentrated at lower completion latencies (roughly 0.6-0.9 seconds), while b at or above 96 clusters tightly around approximately 1.1-1.2 seconds with heavy overlap among b=128, 160, 192, and 256. The tight grouping for larger b suggests a stable operating region where increasing b further does not materially change completion latency, while the faster b=32 outcome indicates the system is likely not congested in this configuration (small batches reduce waiting and do not </w:t>
      </w:r>
      <w:r>
        <w:rPr>
          <w:rFonts w:ascii="Times New Roman" w:eastAsia="Times New Roman" w:hAnsi="Times New Roman" w:cs="Times New Roman"/>
          <w:sz w:val="24"/>
          <w:szCs w:val="24"/>
        </w:rPr>
        <w:lastRenderedPageBreak/>
        <w:t>yet trigger backlog growth). Tail risk is better captured by P95/P99 metrics reported elsewhere, since density overlays can visually de-emphasize rare extreme delays.</w:t>
      </w:r>
    </w:p>
    <w:p w14:paraId="1387AAFA" w14:textId="77777777" w:rsidR="007077D8" w:rsidRDefault="00000000">
      <w:pPr>
        <w:pStyle w:val="Heading1"/>
        <w:rPr>
          <w:rFonts w:ascii="Times New Roman" w:eastAsia="Times New Roman" w:hAnsi="Times New Roman" w:cs="Times New Roman"/>
          <w:b/>
          <w:bCs/>
          <w:sz w:val="28"/>
          <w:szCs w:val="28"/>
        </w:rPr>
      </w:pPr>
      <w:bookmarkStart w:id="3" w:name="_xfqrr6e4t1mr" w:colFirst="0" w:colLast="0"/>
      <w:bookmarkEnd w:id="3"/>
      <w:r>
        <w:rPr>
          <w:rFonts w:ascii="Times New Roman" w:eastAsia="Times New Roman" w:hAnsi="Times New Roman" w:cs="Times New Roman"/>
          <w:b/>
          <w:bCs/>
          <w:sz w:val="28"/>
          <w:szCs w:val="28"/>
        </w:rPr>
        <w:t xml:space="preserve">Appendix B. </w:t>
      </w:r>
    </w:p>
    <w:p w14:paraId="56B6E733" w14:textId="77777777" w:rsidR="007077D8" w:rsidRDefault="00000000">
      <w:pPr>
        <w:pStyle w:val="Heading2"/>
        <w:rPr>
          <w:rFonts w:ascii="Times New Roman" w:eastAsia="Times New Roman" w:hAnsi="Times New Roman" w:cs="Times New Roman"/>
          <w:i/>
          <w:iCs/>
          <w:sz w:val="24"/>
          <w:szCs w:val="24"/>
        </w:rPr>
      </w:pPr>
      <w:bookmarkStart w:id="4" w:name="_90c7wsr458g" w:colFirst="0" w:colLast="0"/>
      <w:bookmarkEnd w:id="4"/>
      <w:r>
        <w:rPr>
          <w:rFonts w:ascii="Times New Roman" w:eastAsia="Times New Roman" w:hAnsi="Times New Roman" w:cs="Times New Roman"/>
          <w:i/>
          <w:iCs/>
          <w:sz w:val="24"/>
          <w:szCs w:val="24"/>
        </w:rPr>
        <w:t xml:space="preserve">Time Between Tokens (TBT) density overlay across fixed batch token targets b in {32, 64, 96, 128, 160, 192, 256}. </w:t>
      </w:r>
    </w:p>
    <w:p w14:paraId="41D07A13"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DC6ADB" wp14:editId="0BFC4E25">
            <wp:extent cx="5943600" cy="3365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3365500"/>
                    </a:xfrm>
                    <a:prstGeom prst="rect">
                      <a:avLst/>
                    </a:prstGeom>
                    <a:ln/>
                  </pic:spPr>
                </pic:pic>
              </a:graphicData>
            </a:graphic>
          </wp:inline>
        </w:drawing>
      </w:r>
    </w:p>
    <w:p w14:paraId="75E80FFA"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figure overlays the empirical density of token-level Time Between Tokens (TBT) under different fixed batching targets. TBT measures the gap between consecutive token completions for the same request during the decode phase, so it is a direct proxy for “streaming smoothness” from a user perspective. Because decode tokens are produced sequentially, batching and queueing effects show up as variability in these inter-token gaps even when the underlying per-token service time distribution is unchanged.</w:t>
      </w:r>
    </w:p>
    <w:p w14:paraId="62B9EB4B"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run, most settings with b at or above 64 </w:t>
      </w:r>
      <w:proofErr w:type="gramStart"/>
      <w:r>
        <w:rPr>
          <w:rFonts w:ascii="Times New Roman" w:eastAsia="Times New Roman" w:hAnsi="Times New Roman" w:cs="Times New Roman"/>
          <w:sz w:val="24"/>
          <w:szCs w:val="24"/>
        </w:rPr>
        <w:t>concentrate</w:t>
      </w:r>
      <w:proofErr w:type="gramEnd"/>
      <w:r>
        <w:rPr>
          <w:rFonts w:ascii="Times New Roman" w:eastAsia="Times New Roman" w:hAnsi="Times New Roman" w:cs="Times New Roman"/>
          <w:sz w:val="24"/>
          <w:szCs w:val="24"/>
        </w:rPr>
        <w:t xml:space="preserve"> tightly around a narrow TBT band near roughly 0.06-0.07 seconds, indicating relatively steady token cadence once the system is in a stable regime. The b=32 curve is visibly more dispersed, with additional mass at smaller and larger gaps, which suggests higher jitter in token streaming when batches are very small and the system cycles through more frequent dispatches and overhead. Overall, the plot implies that moderate-to-</w:t>
      </w:r>
      <w:proofErr w:type="gramStart"/>
      <w:r>
        <w:rPr>
          <w:rFonts w:ascii="Times New Roman" w:eastAsia="Times New Roman" w:hAnsi="Times New Roman" w:cs="Times New Roman"/>
          <w:sz w:val="24"/>
          <w:szCs w:val="24"/>
        </w:rPr>
        <w:t>large fixed</w:t>
      </w:r>
      <w:proofErr w:type="gramEnd"/>
      <w:r>
        <w:rPr>
          <w:rFonts w:ascii="Times New Roman" w:eastAsia="Times New Roman" w:hAnsi="Times New Roman" w:cs="Times New Roman"/>
          <w:sz w:val="24"/>
          <w:szCs w:val="24"/>
        </w:rPr>
        <w:t xml:space="preserve"> batch targets yield smoother and more predictable token streaming than the smallest batch target in this parameterization.</w:t>
      </w:r>
    </w:p>
    <w:p w14:paraId="118497A8" w14:textId="77777777" w:rsidR="007077D8" w:rsidRDefault="007077D8">
      <w:pPr>
        <w:spacing w:before="240" w:after="240"/>
        <w:rPr>
          <w:rFonts w:ascii="Times New Roman" w:eastAsia="Times New Roman" w:hAnsi="Times New Roman" w:cs="Times New Roman"/>
          <w:sz w:val="24"/>
          <w:szCs w:val="24"/>
        </w:rPr>
      </w:pPr>
    </w:p>
    <w:p w14:paraId="26BAC1BA" w14:textId="77777777" w:rsidR="007077D8" w:rsidRDefault="00000000">
      <w:pPr>
        <w:pStyle w:val="Heading1"/>
        <w:rPr>
          <w:rFonts w:ascii="Times New Roman" w:eastAsia="Times New Roman" w:hAnsi="Times New Roman" w:cs="Times New Roman"/>
          <w:b/>
          <w:bCs/>
          <w:sz w:val="28"/>
          <w:szCs w:val="28"/>
        </w:rPr>
      </w:pPr>
      <w:bookmarkStart w:id="5" w:name="_w2l8cgrmzyht" w:colFirst="0" w:colLast="0"/>
      <w:bookmarkEnd w:id="5"/>
      <w:r>
        <w:rPr>
          <w:rFonts w:ascii="Times New Roman" w:eastAsia="Times New Roman" w:hAnsi="Times New Roman" w:cs="Times New Roman"/>
          <w:b/>
          <w:bCs/>
          <w:sz w:val="28"/>
          <w:szCs w:val="28"/>
        </w:rPr>
        <w:t xml:space="preserve">Appendix C. </w:t>
      </w:r>
    </w:p>
    <w:p w14:paraId="65A6D12A" w14:textId="77777777" w:rsidR="007077D8" w:rsidRDefault="00000000">
      <w:pPr>
        <w:pStyle w:val="Heading2"/>
        <w:rPr>
          <w:rFonts w:ascii="Times New Roman" w:eastAsia="Times New Roman" w:hAnsi="Times New Roman" w:cs="Times New Roman"/>
          <w:i/>
          <w:iCs/>
          <w:sz w:val="24"/>
          <w:szCs w:val="24"/>
        </w:rPr>
      </w:pPr>
      <w:bookmarkStart w:id="6" w:name="_geksnz1q9o03" w:colFirst="0" w:colLast="0"/>
      <w:bookmarkEnd w:id="6"/>
      <w:r>
        <w:rPr>
          <w:rFonts w:ascii="Times New Roman" w:eastAsia="Times New Roman" w:hAnsi="Times New Roman" w:cs="Times New Roman"/>
          <w:i/>
          <w:iCs/>
          <w:sz w:val="24"/>
          <w:szCs w:val="24"/>
        </w:rPr>
        <w:t>Completion Latency Comparison: Fixed b vs Dynamic Batching</w:t>
      </w:r>
    </w:p>
    <w:p w14:paraId="4BB314DE" w14:textId="77777777" w:rsidR="007077D8" w:rsidRDefault="00000000">
      <w:r>
        <w:rPr>
          <w:noProof/>
        </w:rPr>
        <w:drawing>
          <wp:inline distT="114300" distB="114300" distL="114300" distR="114300" wp14:anchorId="694EA6BF" wp14:editId="095FEE44">
            <wp:extent cx="5943600" cy="4114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4114800"/>
                    </a:xfrm>
                    <a:prstGeom prst="rect">
                      <a:avLst/>
                    </a:prstGeom>
                    <a:ln/>
                  </pic:spPr>
                </pic:pic>
              </a:graphicData>
            </a:graphic>
          </wp:inline>
        </w:drawing>
      </w:r>
    </w:p>
    <w:p w14:paraId="303475F8" w14:textId="77777777" w:rsidR="007077D8" w:rsidRPr="0028046E"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set of panels compares the completion-latency distribution under each fixed batching target (blue) to the same workload under the dynamic batching policy (orange). The main pattern is that dynamic batching tends to place more probability mass at lower completion latencies (roughly 0.7-1.0 seconds), while the fixed policies with b at or above 64 </w:t>
      </w:r>
      <w:proofErr w:type="gramStart"/>
      <w:r>
        <w:rPr>
          <w:rFonts w:ascii="Times New Roman" w:eastAsia="Times New Roman" w:hAnsi="Times New Roman" w:cs="Times New Roman"/>
        </w:rPr>
        <w:t>concentrate</w:t>
      </w:r>
      <w:proofErr w:type="gramEnd"/>
      <w:r>
        <w:rPr>
          <w:rFonts w:ascii="Times New Roman" w:eastAsia="Times New Roman" w:hAnsi="Times New Roman" w:cs="Times New Roman"/>
        </w:rPr>
        <w:t xml:space="preserve"> later, around about 1.1-1.2 seconds, consistent with added waiting to accumulate larger batches before dispatch. At b=32, fixed batching overlaps more </w:t>
      </w:r>
      <w:r w:rsidRPr="0028046E">
        <w:rPr>
          <w:rFonts w:ascii="Times New Roman" w:eastAsia="Times New Roman" w:hAnsi="Times New Roman" w:cs="Times New Roman"/>
        </w:rPr>
        <w:t>with dynamic, which aligns with the idea that small b reduces batching delay when the system is not congested.</w:t>
      </w:r>
    </w:p>
    <w:p w14:paraId="679E8575" w14:textId="77777777" w:rsidR="007077D8" w:rsidRPr="0028046E" w:rsidRDefault="00000000">
      <w:pPr>
        <w:spacing w:before="240" w:after="240"/>
        <w:rPr>
          <w:rFonts w:ascii="Times New Roman" w:eastAsia="Times New Roman" w:hAnsi="Times New Roman" w:cs="Times New Roman"/>
        </w:rPr>
      </w:pPr>
      <w:r w:rsidRPr="0028046E">
        <w:rPr>
          <w:rFonts w:ascii="Times New Roman" w:eastAsia="Gungsuh" w:hAnsi="Times New Roman" w:cs="Times New Roman"/>
        </w:rPr>
        <w:t xml:space="preserve">Across b ≥ 64, the fixed distributions are tight and shifted to the right relative to dynamic, indicating that in this parameterization dynamic’s latency guard and smaller on-the-fly batches reduce end-to-end completion time for many requests. At the same time, the dynamic histograms appear broader with a longer right tail than the fixed ones in several panels, suggesting more variability: some requests benefit from early dispatch, while others still wait behind fluctuating batch formation decisions. Overall, these plots show a trade-off where dynamic improves typical completion latency but can introduce more </w:t>
      </w:r>
      <w:r w:rsidRPr="0028046E">
        <w:rPr>
          <w:rFonts w:ascii="Times New Roman" w:eastAsia="Gungsuh" w:hAnsi="Times New Roman" w:cs="Times New Roman"/>
        </w:rPr>
        <w:lastRenderedPageBreak/>
        <w:t>dispersion, whereas fixed large-b batching yields more consistent completion times at the cost of a higher typical latency level.</w:t>
      </w:r>
    </w:p>
    <w:p w14:paraId="4772B597" w14:textId="77777777" w:rsidR="007077D8" w:rsidRDefault="007077D8"/>
    <w:p w14:paraId="16AD44C3" w14:textId="77777777" w:rsidR="007077D8" w:rsidRDefault="00000000">
      <w:pPr>
        <w:pStyle w:val="Heading1"/>
        <w:rPr>
          <w:rFonts w:ascii="Times New Roman" w:eastAsia="Times New Roman" w:hAnsi="Times New Roman" w:cs="Times New Roman"/>
          <w:b/>
          <w:bCs/>
          <w:sz w:val="28"/>
          <w:szCs w:val="28"/>
        </w:rPr>
      </w:pPr>
      <w:bookmarkStart w:id="7" w:name="_8fizjpftbton" w:colFirst="0" w:colLast="0"/>
      <w:bookmarkEnd w:id="7"/>
      <w:r>
        <w:rPr>
          <w:rFonts w:ascii="Times New Roman" w:eastAsia="Times New Roman" w:hAnsi="Times New Roman" w:cs="Times New Roman"/>
          <w:b/>
          <w:bCs/>
          <w:sz w:val="28"/>
          <w:szCs w:val="28"/>
        </w:rPr>
        <w:t xml:space="preserve">Appendix D. </w:t>
      </w:r>
    </w:p>
    <w:p w14:paraId="1033BDB1" w14:textId="77777777" w:rsidR="007077D8" w:rsidRDefault="00000000">
      <w:pPr>
        <w:pStyle w:val="Heading2"/>
        <w:rPr>
          <w:rFonts w:ascii="Times New Roman" w:eastAsia="Times New Roman" w:hAnsi="Times New Roman" w:cs="Times New Roman"/>
          <w:i/>
          <w:iCs/>
          <w:sz w:val="24"/>
          <w:szCs w:val="24"/>
        </w:rPr>
      </w:pPr>
      <w:bookmarkStart w:id="8" w:name="_hyvamdb7uajn" w:colFirst="0" w:colLast="0"/>
      <w:bookmarkEnd w:id="8"/>
      <w:r>
        <w:rPr>
          <w:rFonts w:ascii="Times New Roman" w:eastAsia="Times New Roman" w:hAnsi="Times New Roman" w:cs="Times New Roman"/>
          <w:i/>
          <w:iCs/>
          <w:sz w:val="24"/>
          <w:szCs w:val="24"/>
        </w:rPr>
        <w:t>Time Between Tokens Comparison: Fixed b vs Dynamic Batching</w:t>
      </w:r>
    </w:p>
    <w:p w14:paraId="2C00E267" w14:textId="77777777" w:rsidR="007077D8" w:rsidRDefault="00000000">
      <w:r>
        <w:rPr>
          <w:noProof/>
        </w:rPr>
        <w:drawing>
          <wp:inline distT="114300" distB="114300" distL="114300" distR="114300" wp14:anchorId="40446A5D" wp14:editId="1BB14C73">
            <wp:extent cx="5943600" cy="4114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114800"/>
                    </a:xfrm>
                    <a:prstGeom prst="rect">
                      <a:avLst/>
                    </a:prstGeom>
                    <a:ln/>
                  </pic:spPr>
                </pic:pic>
              </a:graphicData>
            </a:graphic>
          </wp:inline>
        </w:drawing>
      </w:r>
    </w:p>
    <w:p w14:paraId="38FA5E9D" w14:textId="77777777" w:rsidR="007077D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panels compare the distribution of token-to-token gaps during decode under each fixed batching target (blue) versus the dynamic policy (orange). A consistent pattern across b values is that the fixed policies produce a very sharp concentration of TBT around a narrow band near roughly 0.06-0.07 seconds, meaning that once a request is streaming, tokens tend to arrive at a highly regular cadence under fixed batching in this parameterization. In contrast, the dynamic policy spreads probability mass more widely and shows more pronounced spikes at other gap values, indicating higher variability in the inter-token timing.</w:t>
      </w:r>
    </w:p>
    <w:p w14:paraId="780C74AA" w14:textId="77777777" w:rsidR="007077D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interpretation is that dynamic batching’s on-the-fly batch formation and latency-guard behavior introduces additional jitter in the token stream: some tokens are served quickly when the policy dispatches small or early batches, while other tokens experience longer gaps when they get caught behind variable batch composition or additional dispatch overhead. Meanwhile, fixed batching- especially for b </w:t>
      </w:r>
      <w:r>
        <w:rPr>
          <w:rFonts w:ascii="Times New Roman" w:eastAsia="Times New Roman" w:hAnsi="Times New Roman" w:cs="Times New Roman"/>
        </w:rPr>
        <w:lastRenderedPageBreak/>
        <w:t>at or above 64- behaves more like a steady “rhythm” in decode, with less dispersion in TBT, even if it may not always minimize end-to-end completion latency.</w:t>
      </w:r>
    </w:p>
    <w:p w14:paraId="10E4907A" w14:textId="77777777" w:rsidR="007077D8" w:rsidRDefault="00000000">
      <w:pPr>
        <w:pStyle w:val="Heading1"/>
        <w:rPr>
          <w:rFonts w:ascii="Times New Roman" w:eastAsia="Times New Roman" w:hAnsi="Times New Roman" w:cs="Times New Roman"/>
          <w:b/>
          <w:bCs/>
          <w:sz w:val="28"/>
          <w:szCs w:val="28"/>
        </w:rPr>
      </w:pPr>
      <w:bookmarkStart w:id="9" w:name="_7bnp61pxjdy8" w:colFirst="0" w:colLast="0"/>
      <w:bookmarkEnd w:id="9"/>
      <w:r>
        <w:rPr>
          <w:rFonts w:ascii="Times New Roman" w:eastAsia="Times New Roman" w:hAnsi="Times New Roman" w:cs="Times New Roman"/>
          <w:b/>
          <w:bCs/>
          <w:sz w:val="28"/>
          <w:szCs w:val="28"/>
        </w:rPr>
        <w:t xml:space="preserve">Appendix E. </w:t>
      </w:r>
    </w:p>
    <w:p w14:paraId="2B874F65" w14:textId="77777777" w:rsidR="007077D8" w:rsidRDefault="00000000">
      <w:pPr>
        <w:pStyle w:val="Heading2"/>
      </w:pPr>
      <w:bookmarkStart w:id="10" w:name="_uodq8p6xe7qs" w:colFirst="0" w:colLast="0"/>
      <w:bookmarkEnd w:id="10"/>
      <w:r>
        <w:rPr>
          <w:rFonts w:ascii="Times New Roman" w:eastAsia="Times New Roman" w:hAnsi="Times New Roman" w:cs="Times New Roman"/>
          <w:i/>
          <w:iCs/>
          <w:sz w:val="24"/>
          <w:szCs w:val="24"/>
        </w:rPr>
        <w:t>Throughput vs Fixed Batch Token Target (Dynamic Baseline)</w:t>
      </w:r>
    </w:p>
    <w:p w14:paraId="00FD9C94"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EA95F" wp14:editId="42449A4C">
            <wp:extent cx="5943600" cy="3898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898900"/>
                    </a:xfrm>
                    <a:prstGeom prst="rect">
                      <a:avLst/>
                    </a:prstGeom>
                    <a:ln/>
                  </pic:spPr>
                </pic:pic>
              </a:graphicData>
            </a:graphic>
          </wp:inline>
        </w:drawing>
      </w:r>
    </w:p>
    <w:p w14:paraId="1C6C86CD"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Throughput (completed queries per second) as a function of the fixed batching token target b, with the dashed line showing the dynamic batching baseline. In this run, throughput varies only modestly across b and stays in a narrow band, indicating that the system is operating in a regime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changing the fixed token threshold mostly shifts waiting/latency behavior rather than fundamentally changing how many requests can be completed per unit time. The dashed dynamic baseline sits within the same range as the fixed policies, suggesting that dynamic batching is not providing a large throughput advantage under this parameterization and load, and that the primary differentiation between policies will show up in latency and streaming metrics rather than raw capacity.</w:t>
      </w:r>
    </w:p>
    <w:p w14:paraId="0A7C2052" w14:textId="77777777" w:rsidR="007077D8" w:rsidRDefault="007077D8">
      <w:pPr>
        <w:spacing w:before="240" w:after="240"/>
        <w:rPr>
          <w:rFonts w:ascii="Times New Roman" w:eastAsia="Times New Roman" w:hAnsi="Times New Roman" w:cs="Times New Roman"/>
          <w:sz w:val="24"/>
          <w:szCs w:val="24"/>
        </w:rPr>
      </w:pPr>
    </w:p>
    <w:p w14:paraId="56F0B175" w14:textId="77777777" w:rsidR="007077D8" w:rsidRDefault="00000000">
      <w:pPr>
        <w:pStyle w:val="Heading1"/>
        <w:rPr>
          <w:rFonts w:ascii="Times New Roman" w:eastAsia="Times New Roman" w:hAnsi="Times New Roman" w:cs="Times New Roman"/>
          <w:b/>
          <w:bCs/>
          <w:sz w:val="28"/>
          <w:szCs w:val="28"/>
        </w:rPr>
      </w:pPr>
      <w:bookmarkStart w:id="11" w:name="_wtqv0a2j1yzm" w:colFirst="0" w:colLast="0"/>
      <w:bookmarkEnd w:id="11"/>
      <w:r>
        <w:rPr>
          <w:rFonts w:ascii="Times New Roman" w:eastAsia="Times New Roman" w:hAnsi="Times New Roman" w:cs="Times New Roman"/>
          <w:b/>
          <w:bCs/>
          <w:sz w:val="28"/>
          <w:szCs w:val="28"/>
        </w:rPr>
        <w:lastRenderedPageBreak/>
        <w:t xml:space="preserve">Appendix F. </w:t>
      </w:r>
    </w:p>
    <w:p w14:paraId="6AD4B885" w14:textId="77777777" w:rsidR="007077D8" w:rsidRDefault="00000000">
      <w:pPr>
        <w:pStyle w:val="Heading2"/>
        <w:rPr>
          <w:rFonts w:ascii="Times New Roman" w:eastAsia="Times New Roman" w:hAnsi="Times New Roman" w:cs="Times New Roman"/>
          <w:sz w:val="24"/>
          <w:szCs w:val="24"/>
        </w:rPr>
      </w:pPr>
      <w:bookmarkStart w:id="12" w:name="_7voyslyhkwh0" w:colFirst="0" w:colLast="0"/>
      <w:bookmarkEnd w:id="12"/>
      <w:r>
        <w:rPr>
          <w:rFonts w:ascii="Times New Roman" w:eastAsia="Times New Roman" w:hAnsi="Times New Roman" w:cs="Times New Roman"/>
          <w:i/>
          <w:iCs/>
          <w:sz w:val="24"/>
          <w:szCs w:val="24"/>
        </w:rPr>
        <w:t>P95 Completion Latency vs Fixed Batch Token Target (Dynamic Baseline)</w:t>
      </w:r>
    </w:p>
    <w:p w14:paraId="7DB7B4D5"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E027F4" wp14:editId="1E69AD62">
            <wp:extent cx="5943600" cy="3873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873500"/>
                    </a:xfrm>
                    <a:prstGeom prst="rect">
                      <a:avLst/>
                    </a:prstGeom>
                    <a:ln/>
                  </pic:spPr>
                </pic:pic>
              </a:graphicData>
            </a:graphic>
          </wp:inline>
        </w:drawing>
      </w:r>
    </w:p>
    <w:p w14:paraId="0BA14C96"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P95 completion latency (arrival to last token) versus fixed batching token target b, with the dashed line indicating the dynamic baseline. The plot shows that P95 completion latency increases as b grows from very small values into the moderate range, then largely plateaus for b around 64 and above, which is consistent with higher b introducing extra batch-formation waiting that becomes a stable part of the end-to-end completion time. The dynamic baseline is higher than most fixed settings in this run, implying that while dynamic may reduce typical completion latency for many requests (as seen in the histogram comparisons), it can still have a slightly heavier tail at the 95th percentile depending on how its latency guard triggers and how variable its batch sizes become.</w:t>
      </w:r>
    </w:p>
    <w:p w14:paraId="4603DE0C" w14:textId="77777777" w:rsidR="007077D8" w:rsidRDefault="00000000">
      <w:pPr>
        <w:pStyle w:val="Heading1"/>
        <w:rPr>
          <w:rFonts w:ascii="Times New Roman" w:eastAsia="Times New Roman" w:hAnsi="Times New Roman" w:cs="Times New Roman"/>
          <w:b/>
          <w:bCs/>
          <w:sz w:val="28"/>
          <w:szCs w:val="28"/>
        </w:rPr>
      </w:pPr>
      <w:bookmarkStart w:id="13" w:name="_qo0k765qa54t" w:colFirst="0" w:colLast="0"/>
      <w:bookmarkEnd w:id="13"/>
      <w:r>
        <w:rPr>
          <w:rFonts w:ascii="Times New Roman" w:eastAsia="Times New Roman" w:hAnsi="Times New Roman" w:cs="Times New Roman"/>
          <w:b/>
          <w:bCs/>
          <w:sz w:val="28"/>
          <w:szCs w:val="28"/>
        </w:rPr>
        <w:lastRenderedPageBreak/>
        <w:t xml:space="preserve">Appendix G. </w:t>
      </w:r>
    </w:p>
    <w:p w14:paraId="1D6A5E1C" w14:textId="77777777" w:rsidR="007077D8" w:rsidRDefault="00000000">
      <w:pPr>
        <w:pStyle w:val="Heading2"/>
        <w:rPr>
          <w:rFonts w:ascii="Times New Roman" w:eastAsia="Times New Roman" w:hAnsi="Times New Roman" w:cs="Times New Roman"/>
          <w:sz w:val="24"/>
          <w:szCs w:val="24"/>
        </w:rPr>
      </w:pPr>
      <w:bookmarkStart w:id="14" w:name="_abcfe12uesff" w:colFirst="0" w:colLast="0"/>
      <w:bookmarkEnd w:id="14"/>
      <w:r>
        <w:rPr>
          <w:rFonts w:ascii="Times New Roman" w:eastAsia="Times New Roman" w:hAnsi="Times New Roman" w:cs="Times New Roman"/>
          <w:i/>
          <w:iCs/>
          <w:sz w:val="24"/>
          <w:szCs w:val="24"/>
        </w:rPr>
        <w:t>P95 TTFT vs Fixed Batch Token Target (Dynamic Baseline)</w:t>
      </w:r>
    </w:p>
    <w:p w14:paraId="14A9134B"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2D5819" wp14:editId="0199AC93">
            <wp:extent cx="5943600" cy="3949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949700"/>
                    </a:xfrm>
                    <a:prstGeom prst="rect">
                      <a:avLst/>
                    </a:prstGeom>
                    <a:ln/>
                  </pic:spPr>
                </pic:pic>
              </a:graphicData>
            </a:graphic>
          </wp:inline>
        </w:drawing>
      </w:r>
    </w:p>
    <w:p w14:paraId="3555E3C9" w14:textId="77777777" w:rsidR="007077D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P95 time-to-</w:t>
      </w:r>
      <w:proofErr w:type="gramStart"/>
      <w:r>
        <w:rPr>
          <w:rFonts w:ascii="Times New Roman" w:eastAsia="Times New Roman" w:hAnsi="Times New Roman" w:cs="Times New Roman"/>
          <w:sz w:val="24"/>
          <w:szCs w:val="24"/>
        </w:rPr>
        <w:t>first-token</w:t>
      </w:r>
      <w:proofErr w:type="gramEnd"/>
      <w:r>
        <w:rPr>
          <w:rFonts w:ascii="Times New Roman" w:eastAsia="Times New Roman" w:hAnsi="Times New Roman" w:cs="Times New Roman"/>
          <w:sz w:val="24"/>
          <w:szCs w:val="24"/>
        </w:rPr>
        <w:t xml:space="preserve"> (TTFT) versus fixed batching token target b, with the dashed line indicating the dynamic baseline. Across all fixed b values shown, P95 TTFT remains low and relatively flat, which suggests that under these settings the prefill phase is not heavily backlogged and that batch formation does not dramatically delay the first token for most requests. Dynamic’s dashed baseline is noticeably higher than the fixed values here, indicating that the specific dynamic configuration used in this run can sometimes delay prefill completion for a nontrivial fraction of requests, likely because the latency guard and variable batch targeting change when prefill jobs get dispatched relative to the fixed policy.</w:t>
      </w:r>
    </w:p>
    <w:sectPr w:rsidR="007077D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251CBB8-5718-A34A-A60B-4D74E0E9AF73}"/>
    <w:embedBold r:id="rId2" w:fontKey="{8E9E90D7-C511-844E-83F2-7B0D8AB577FD}"/>
    <w:embedItalic r:id="rId3" w:fontKey="{078E12F1-84F6-604C-9790-21051ABC2ADE}"/>
  </w:font>
  <w:font w:name="Times New Roman">
    <w:panose1 w:val="02020603050405020304"/>
    <w:charset w:val="00"/>
    <w:family w:val="roman"/>
    <w:pitch w:val="variable"/>
    <w:sig w:usb0="E0002EFF" w:usb1="C000785B" w:usb2="00000009" w:usb3="00000000" w:csb0="000001FF" w:csb1="00000000"/>
    <w:embedRegular r:id="rId4" w:fontKey="{2C23467A-74FF-F44B-8427-A86755AD975D}"/>
    <w:embedBold r:id="rId5" w:fontKey="{D4F527C8-D2FF-8045-AF04-A4E59F612A3C}"/>
    <w:embedItalic r:id="rId6" w:fontKey="{E189D785-D2BF-CC4E-8CD9-CC9BB6B82FEF}"/>
  </w:font>
  <w:font w:name="Gungsuh">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7" w:fontKey="{F1092F99-9409-374D-AF62-404AC7331C4A}"/>
  </w:font>
  <w:font w:name="Cambria">
    <w:panose1 w:val="02040503050406030204"/>
    <w:charset w:val="00"/>
    <w:family w:val="roman"/>
    <w:pitch w:val="variable"/>
    <w:sig w:usb0="E00002FF" w:usb1="400004FF" w:usb2="00000000" w:usb3="00000000" w:csb0="0000019F" w:csb1="00000000"/>
    <w:embedRegular r:id="rId8" w:fontKey="{9C0182D3-0AB8-9A43-B187-F1B2E1171D8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7D8"/>
    <w:rsid w:val="0028046E"/>
    <w:rsid w:val="007077D8"/>
    <w:rsid w:val="00D02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13AE9C"/>
  <w15:docId w15:val="{CACBAC60-E5F1-2843-B5EF-25D33AB82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1215</Words>
  <Characters>6780</Characters>
  <Application>Microsoft Office Word</Application>
  <DocSecurity>0</DocSecurity>
  <Lines>114</Lines>
  <Paragraphs>30</Paragraphs>
  <ScaleCrop>false</ScaleCrop>
  <Company/>
  <LinksUpToDate>false</LinksUpToDate>
  <CharactersWithSpaces>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Eileen Wu</cp:lastModifiedBy>
  <cp:revision>2</cp:revision>
  <dcterms:created xsi:type="dcterms:W3CDTF">2025-12-16T02:38:00Z</dcterms:created>
  <dcterms:modified xsi:type="dcterms:W3CDTF">2025-12-16T02:38:00Z</dcterms:modified>
</cp:coreProperties>
</file>